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84E1" w14:textId="0069B184" w:rsidR="00A236DD" w:rsidRPr="009D00B3" w:rsidRDefault="00C80D20" w:rsidP="00BA5BEE">
      <w:pPr>
        <w:pStyle w:val="KeinLeerraum"/>
        <w:jc w:val="both"/>
        <w:rPr>
          <w:rFonts w:cstheme="minorHAnsi"/>
          <w:b/>
          <w:sz w:val="28"/>
        </w:rPr>
      </w:pPr>
      <w:r w:rsidRPr="009D00B3">
        <w:rPr>
          <w:rFonts w:cstheme="minorHAnsi"/>
          <w:b/>
          <w:sz w:val="28"/>
        </w:rPr>
        <w:t>A</w:t>
      </w:r>
      <w:r w:rsidR="009D00B3">
        <w:rPr>
          <w:rFonts w:cstheme="minorHAnsi"/>
          <w:b/>
          <w:sz w:val="28"/>
        </w:rPr>
        <w:t>nhang</w:t>
      </w:r>
      <w:r w:rsidRPr="009D00B3">
        <w:rPr>
          <w:rFonts w:cstheme="minorHAnsi"/>
          <w:b/>
          <w:sz w:val="28"/>
        </w:rPr>
        <w:t xml:space="preserve"> </w:t>
      </w:r>
      <w:r w:rsidR="00A236DD" w:rsidRPr="009D00B3">
        <w:rPr>
          <w:rFonts w:cstheme="minorHAnsi"/>
          <w:b/>
          <w:sz w:val="28"/>
        </w:rPr>
        <w:t>„G</w:t>
      </w:r>
      <w:r w:rsidR="009D00B3">
        <w:rPr>
          <w:rFonts w:cstheme="minorHAnsi"/>
          <w:b/>
          <w:sz w:val="28"/>
        </w:rPr>
        <w:t>ruppensegeln</w:t>
      </w:r>
      <w:r w:rsidR="00A236DD" w:rsidRPr="009D00B3">
        <w:rPr>
          <w:rFonts w:cstheme="minorHAnsi"/>
          <w:b/>
          <w:sz w:val="28"/>
        </w:rPr>
        <w:t>“</w:t>
      </w:r>
    </w:p>
    <w:p w14:paraId="308784A3" w14:textId="77777777" w:rsidR="009D00B3" w:rsidRPr="009D00B3" w:rsidRDefault="009D00B3" w:rsidP="00BA5BEE">
      <w:pPr>
        <w:pStyle w:val="KeinLeerraum"/>
        <w:jc w:val="both"/>
        <w:rPr>
          <w:rFonts w:cstheme="minorHAnsi"/>
        </w:rPr>
      </w:pPr>
    </w:p>
    <w:p w14:paraId="1325F775" w14:textId="179CF787" w:rsidR="006A64C0" w:rsidRPr="009D00B3" w:rsidRDefault="006A64C0" w:rsidP="00BA5BEE">
      <w:pPr>
        <w:pStyle w:val="KeinLeerraum"/>
        <w:numPr>
          <w:ilvl w:val="0"/>
          <w:numId w:val="10"/>
        </w:numPr>
        <w:ind w:left="709" w:hanging="709"/>
        <w:jc w:val="both"/>
        <w:rPr>
          <w:rFonts w:cstheme="minorHAnsi"/>
          <w:b/>
        </w:rPr>
      </w:pPr>
      <w:r w:rsidRPr="009D00B3">
        <w:rPr>
          <w:rFonts w:cstheme="minorHAnsi"/>
          <w:b/>
        </w:rPr>
        <w:t>QUALIFIKATIONSSERIE</w:t>
      </w:r>
    </w:p>
    <w:p w14:paraId="3292FC3A" w14:textId="5712647C" w:rsidR="00A236DD" w:rsidRPr="009D00B3" w:rsidRDefault="002E5A74" w:rsidP="00BA5BEE">
      <w:pPr>
        <w:pStyle w:val="KeinLeerraum"/>
        <w:numPr>
          <w:ilvl w:val="1"/>
          <w:numId w:val="10"/>
        </w:numPr>
        <w:ind w:left="709" w:hanging="709"/>
        <w:jc w:val="both"/>
        <w:rPr>
          <w:rFonts w:cstheme="minorHAnsi"/>
        </w:rPr>
      </w:pPr>
      <w:r w:rsidRPr="009D00B3">
        <w:rPr>
          <w:rFonts w:cstheme="minorHAnsi"/>
        </w:rPr>
        <w:t xml:space="preserve">Die Boote werden </w:t>
      </w:r>
      <w:r w:rsidR="00A236DD" w:rsidRPr="009D00B3">
        <w:rPr>
          <w:rFonts w:cstheme="minorHAnsi"/>
        </w:rPr>
        <w:t>in die Gr</w:t>
      </w:r>
      <w:r w:rsidRPr="009D00B3">
        <w:rPr>
          <w:rFonts w:cstheme="minorHAnsi"/>
        </w:rPr>
        <w:t>uppen Gelb, Blau,</w:t>
      </w:r>
      <w:r w:rsidR="002F6A84" w:rsidRPr="009D00B3">
        <w:rPr>
          <w:rFonts w:cstheme="minorHAnsi"/>
        </w:rPr>
        <w:t xml:space="preserve"> Rot oder</w:t>
      </w:r>
      <w:r w:rsidR="006A64C0" w:rsidRPr="009D00B3">
        <w:rPr>
          <w:rFonts w:cstheme="minorHAnsi"/>
        </w:rPr>
        <w:t xml:space="preserve"> Grün usw. </w:t>
      </w:r>
      <w:r w:rsidRPr="009D00B3">
        <w:rPr>
          <w:rFonts w:cstheme="minorHAnsi"/>
        </w:rPr>
        <w:t xml:space="preserve">von, soweit möglich, gleicher Größe und Leistungsdichte </w:t>
      </w:r>
      <w:r w:rsidR="00A236DD" w:rsidRPr="009D00B3">
        <w:rPr>
          <w:rFonts w:cstheme="minorHAnsi"/>
        </w:rPr>
        <w:t>eingeteilt. Die erste Einte</w:t>
      </w:r>
      <w:r w:rsidR="006A64C0" w:rsidRPr="009D00B3">
        <w:rPr>
          <w:rFonts w:cstheme="minorHAnsi"/>
        </w:rPr>
        <w:t xml:space="preserve">ilung erfolgt durch einen Ausschuss </w:t>
      </w:r>
      <w:r w:rsidR="00A236DD" w:rsidRPr="009D00B3">
        <w:rPr>
          <w:rFonts w:cstheme="minorHAnsi"/>
        </w:rPr>
        <w:t>im Auftrag de</w:t>
      </w:r>
      <w:r w:rsidR="00082CFF" w:rsidRPr="009D00B3">
        <w:rPr>
          <w:rFonts w:cstheme="minorHAnsi"/>
        </w:rPr>
        <w:t>s</w:t>
      </w:r>
      <w:r w:rsidR="00A236DD" w:rsidRPr="009D00B3">
        <w:rPr>
          <w:rFonts w:cstheme="minorHAnsi"/>
        </w:rPr>
        <w:t xml:space="preserve"> </w:t>
      </w:r>
      <w:r w:rsidR="006A64C0" w:rsidRPr="009D00B3">
        <w:rPr>
          <w:rFonts w:cstheme="minorHAnsi"/>
        </w:rPr>
        <w:t>W</w:t>
      </w:r>
      <w:r w:rsidR="00A236DD" w:rsidRPr="009D00B3">
        <w:rPr>
          <w:rFonts w:cstheme="minorHAnsi"/>
        </w:rPr>
        <w:t>ettfahrt</w:t>
      </w:r>
      <w:r w:rsidR="00082CFF" w:rsidRPr="009D00B3">
        <w:rPr>
          <w:rFonts w:cstheme="minorHAnsi"/>
        </w:rPr>
        <w:t>komitees</w:t>
      </w:r>
      <w:r w:rsidR="006A64C0" w:rsidRPr="009D00B3">
        <w:rPr>
          <w:rFonts w:cstheme="minorHAnsi"/>
        </w:rPr>
        <w:t>. Diese Einteilung w</w:t>
      </w:r>
      <w:r w:rsidR="00982A1A">
        <w:rPr>
          <w:rFonts w:cstheme="minorHAnsi"/>
        </w:rPr>
        <w:t>ird</w:t>
      </w:r>
      <w:r w:rsidR="00A236DD" w:rsidRPr="009D00B3">
        <w:rPr>
          <w:rFonts w:cstheme="minorHAnsi"/>
        </w:rPr>
        <w:t xml:space="preserve"> bis </w:t>
      </w:r>
      <w:r w:rsidR="0055386A" w:rsidRPr="0055386A">
        <w:rPr>
          <w:rFonts w:cstheme="minorHAnsi"/>
          <w:highlight w:val="yellow"/>
        </w:rPr>
        <w:t>10:00</w:t>
      </w:r>
      <w:r w:rsidR="00A236DD" w:rsidRPr="0055386A">
        <w:rPr>
          <w:rFonts w:cstheme="minorHAnsi"/>
          <w:highlight w:val="yellow"/>
        </w:rPr>
        <w:t xml:space="preserve"> Uhr</w:t>
      </w:r>
      <w:r w:rsidR="00A236DD" w:rsidRPr="009D00B3">
        <w:rPr>
          <w:rFonts w:cstheme="minorHAnsi"/>
        </w:rPr>
        <w:t xml:space="preserve"> de</w:t>
      </w:r>
      <w:r w:rsidR="0055386A">
        <w:rPr>
          <w:rFonts w:cstheme="minorHAnsi"/>
        </w:rPr>
        <w:t>s Tages</w:t>
      </w:r>
      <w:r w:rsidRPr="009D00B3">
        <w:rPr>
          <w:rFonts w:cstheme="minorHAnsi"/>
        </w:rPr>
        <w:t xml:space="preserve"> der ersten geplanten Wett</w:t>
      </w:r>
      <w:r w:rsidR="00A236DD" w:rsidRPr="009D00B3">
        <w:rPr>
          <w:rFonts w:cstheme="minorHAnsi"/>
        </w:rPr>
        <w:t>fahrt veröffentlicht.</w:t>
      </w:r>
    </w:p>
    <w:p w14:paraId="4BE303CD" w14:textId="08C1DC41" w:rsidR="00A236DD" w:rsidRPr="009D00B3" w:rsidRDefault="00A236DD" w:rsidP="00BA5BEE">
      <w:pPr>
        <w:pStyle w:val="KeinLeerraum"/>
        <w:numPr>
          <w:ilvl w:val="1"/>
          <w:numId w:val="10"/>
        </w:numPr>
        <w:ind w:left="709" w:hanging="709"/>
        <w:jc w:val="both"/>
        <w:rPr>
          <w:rFonts w:cstheme="minorHAnsi"/>
        </w:rPr>
      </w:pPr>
      <w:r w:rsidRPr="009D00B3">
        <w:rPr>
          <w:rFonts w:cstheme="minorHAnsi"/>
        </w:rPr>
        <w:t>Nach jedem Wettfahrtta</w:t>
      </w:r>
      <w:r w:rsidR="00C62828" w:rsidRPr="009D00B3">
        <w:rPr>
          <w:rFonts w:cstheme="minorHAnsi"/>
        </w:rPr>
        <w:t>g werden die Boote neu eingeteilt</w:t>
      </w:r>
      <w:r w:rsidRPr="009D00B3">
        <w:rPr>
          <w:rFonts w:cstheme="minorHAnsi"/>
        </w:rPr>
        <w:t>,</w:t>
      </w:r>
      <w:r w:rsidR="006A64C0" w:rsidRPr="009D00B3">
        <w:rPr>
          <w:rFonts w:cstheme="minorHAnsi"/>
        </w:rPr>
        <w:t xml:space="preserve"> </w:t>
      </w:r>
      <w:r w:rsidR="00C62828" w:rsidRPr="009D00B3">
        <w:rPr>
          <w:rFonts w:cstheme="minorHAnsi"/>
        </w:rPr>
        <w:t xml:space="preserve">außer </w:t>
      </w:r>
      <w:r w:rsidR="00C86F27">
        <w:rPr>
          <w:rFonts w:cstheme="minorHAnsi"/>
        </w:rPr>
        <w:t xml:space="preserve">wenn </w:t>
      </w:r>
      <w:r w:rsidRPr="009D00B3">
        <w:rPr>
          <w:rFonts w:cstheme="minorHAnsi"/>
        </w:rPr>
        <w:t>am</w:t>
      </w:r>
      <w:r w:rsidR="006A64C0" w:rsidRPr="009D00B3">
        <w:rPr>
          <w:rFonts w:cstheme="minorHAnsi"/>
        </w:rPr>
        <w:t xml:space="preserve"> ersten Tag weniger als zwei</w:t>
      </w:r>
      <w:r w:rsidRPr="009D00B3">
        <w:rPr>
          <w:rFonts w:cstheme="minorHAnsi"/>
        </w:rPr>
        <w:t xml:space="preserve"> Wettfahrten in allen</w:t>
      </w:r>
      <w:r w:rsidR="006A64C0" w:rsidRPr="009D00B3">
        <w:rPr>
          <w:rFonts w:cstheme="minorHAnsi"/>
        </w:rPr>
        <w:t xml:space="preserve"> </w:t>
      </w:r>
      <w:r w:rsidRPr="009D00B3">
        <w:rPr>
          <w:rFonts w:cstheme="minorHAnsi"/>
        </w:rPr>
        <w:t xml:space="preserve">Gruppen </w:t>
      </w:r>
      <w:r w:rsidR="002E5A74" w:rsidRPr="009D00B3">
        <w:rPr>
          <w:rFonts w:cstheme="minorHAnsi"/>
        </w:rPr>
        <w:t>vollendet</w:t>
      </w:r>
      <w:r w:rsidR="00C86F27">
        <w:rPr>
          <w:rFonts w:cstheme="minorHAnsi"/>
        </w:rPr>
        <w:t xml:space="preserve"> wurden</w:t>
      </w:r>
      <w:r w:rsidR="00C62828" w:rsidRPr="009D00B3">
        <w:rPr>
          <w:rFonts w:cstheme="minorHAnsi"/>
        </w:rPr>
        <w:t>. Wenn</w:t>
      </w:r>
      <w:r w:rsidRPr="009D00B3">
        <w:rPr>
          <w:rFonts w:cstheme="minorHAnsi"/>
        </w:rPr>
        <w:t xml:space="preserve"> alle Gruppen die gleiche</w:t>
      </w:r>
      <w:r w:rsidR="006A64C0" w:rsidRPr="009D00B3">
        <w:rPr>
          <w:rFonts w:cstheme="minorHAnsi"/>
        </w:rPr>
        <w:t xml:space="preserve"> </w:t>
      </w:r>
      <w:r w:rsidRPr="009D00B3">
        <w:rPr>
          <w:rFonts w:cstheme="minorHAnsi"/>
        </w:rPr>
        <w:t>Anzahl von Wettfahrten vollendet haben, werden die Boote</w:t>
      </w:r>
      <w:r w:rsidR="006A64C0" w:rsidRPr="009D00B3">
        <w:rPr>
          <w:rFonts w:cstheme="minorHAnsi"/>
        </w:rPr>
        <w:t xml:space="preserve"> entsprechend</w:t>
      </w:r>
      <w:r w:rsidR="002E5A74" w:rsidRPr="009D00B3">
        <w:rPr>
          <w:rFonts w:cstheme="minorHAnsi"/>
        </w:rPr>
        <w:t xml:space="preserve"> ihrer</w:t>
      </w:r>
      <w:r w:rsidR="00C62828" w:rsidRPr="009D00B3">
        <w:rPr>
          <w:rFonts w:cstheme="minorHAnsi"/>
        </w:rPr>
        <w:t xml:space="preserve"> Rangfolge</w:t>
      </w:r>
      <w:r w:rsidR="006A64C0" w:rsidRPr="009D00B3">
        <w:rPr>
          <w:rFonts w:cstheme="minorHAnsi"/>
        </w:rPr>
        <w:t xml:space="preserve"> in der</w:t>
      </w:r>
      <w:r w:rsidRPr="009D00B3">
        <w:rPr>
          <w:rFonts w:cstheme="minorHAnsi"/>
        </w:rPr>
        <w:t xml:space="preserve"> Serie neu</w:t>
      </w:r>
      <w:r w:rsidR="006A64C0" w:rsidRPr="009D00B3">
        <w:rPr>
          <w:rFonts w:cstheme="minorHAnsi"/>
        </w:rPr>
        <w:t xml:space="preserve"> </w:t>
      </w:r>
      <w:r w:rsidR="00C62828" w:rsidRPr="009D00B3">
        <w:rPr>
          <w:rFonts w:cstheme="minorHAnsi"/>
        </w:rPr>
        <w:t>eingeteilt. Falls</w:t>
      </w:r>
      <w:r w:rsidRPr="009D00B3">
        <w:rPr>
          <w:rFonts w:cstheme="minorHAnsi"/>
        </w:rPr>
        <w:t xml:space="preserve"> nicht alle Gruppen die gleiche Anzahl von</w:t>
      </w:r>
      <w:r w:rsidR="006A64C0" w:rsidRPr="009D00B3">
        <w:rPr>
          <w:rFonts w:cstheme="minorHAnsi"/>
        </w:rPr>
        <w:t xml:space="preserve"> Wettfahrten vollenden</w:t>
      </w:r>
      <w:r w:rsidRPr="009D00B3">
        <w:rPr>
          <w:rFonts w:cstheme="minorHAnsi"/>
        </w:rPr>
        <w:t xml:space="preserve"> </w:t>
      </w:r>
      <w:r w:rsidR="006A64C0" w:rsidRPr="009D00B3">
        <w:rPr>
          <w:rFonts w:cstheme="minorHAnsi"/>
        </w:rPr>
        <w:t>konnten, erfolgt die</w:t>
      </w:r>
      <w:r w:rsidR="00AA3FA8" w:rsidRPr="009D00B3">
        <w:rPr>
          <w:rFonts w:cstheme="minorHAnsi"/>
        </w:rPr>
        <w:t xml:space="preserve"> </w:t>
      </w:r>
      <w:r w:rsidR="003E03A4" w:rsidRPr="009D00B3">
        <w:rPr>
          <w:rFonts w:cstheme="minorHAnsi"/>
        </w:rPr>
        <w:t>Wertung für die Neueinteilung auf Basis</w:t>
      </w:r>
      <w:r w:rsidRPr="009D00B3">
        <w:rPr>
          <w:rFonts w:cstheme="minorHAnsi"/>
        </w:rPr>
        <w:t xml:space="preserve"> d</w:t>
      </w:r>
      <w:r w:rsidR="006A64C0" w:rsidRPr="009D00B3">
        <w:rPr>
          <w:rFonts w:cstheme="minorHAnsi"/>
        </w:rPr>
        <w:t xml:space="preserve">er von allen Gruppen </w:t>
      </w:r>
      <w:r w:rsidR="002E5A74" w:rsidRPr="009D00B3">
        <w:rPr>
          <w:rFonts w:cstheme="minorHAnsi"/>
        </w:rPr>
        <w:t>vollendeten</w:t>
      </w:r>
      <w:r w:rsidRPr="009D00B3">
        <w:rPr>
          <w:rFonts w:cstheme="minorHAnsi"/>
        </w:rPr>
        <w:t xml:space="preserve"> Wettfahrten entsprechend </w:t>
      </w:r>
      <w:r w:rsidR="003E03A4" w:rsidRPr="009D00B3">
        <w:rPr>
          <w:rFonts w:cstheme="minorHAnsi"/>
        </w:rPr>
        <w:t>ihrer R</w:t>
      </w:r>
      <w:r w:rsidR="00492A1E">
        <w:rPr>
          <w:rFonts w:cstheme="minorHAnsi"/>
        </w:rPr>
        <w:t>angf</w:t>
      </w:r>
      <w:r w:rsidR="003E03A4" w:rsidRPr="009D00B3">
        <w:rPr>
          <w:rFonts w:cstheme="minorHAnsi"/>
        </w:rPr>
        <w:t>olge.</w:t>
      </w:r>
      <w:r w:rsidR="006A64C0" w:rsidRPr="009D00B3">
        <w:rPr>
          <w:rFonts w:cstheme="minorHAnsi"/>
        </w:rPr>
        <w:t xml:space="preserve"> </w:t>
      </w:r>
      <w:r w:rsidR="00877F3C" w:rsidRPr="009D00B3">
        <w:rPr>
          <w:rFonts w:cstheme="minorHAnsi"/>
        </w:rPr>
        <w:t xml:space="preserve">Die </w:t>
      </w:r>
      <w:r w:rsidR="006A64C0" w:rsidRPr="009D00B3">
        <w:rPr>
          <w:rFonts w:cstheme="minorHAnsi"/>
        </w:rPr>
        <w:t>Neu</w:t>
      </w:r>
      <w:r w:rsidR="002F6A84" w:rsidRPr="009D00B3">
        <w:rPr>
          <w:rFonts w:cstheme="minorHAnsi"/>
        </w:rPr>
        <w:t>ei</w:t>
      </w:r>
      <w:r w:rsidR="006D7516" w:rsidRPr="009D00B3">
        <w:rPr>
          <w:rFonts w:cstheme="minorHAnsi"/>
        </w:rPr>
        <w:t>n</w:t>
      </w:r>
      <w:r w:rsidR="002F6A84" w:rsidRPr="009D00B3">
        <w:rPr>
          <w:rFonts w:cstheme="minorHAnsi"/>
        </w:rPr>
        <w:t>teilung</w:t>
      </w:r>
      <w:r w:rsidRPr="009D00B3">
        <w:rPr>
          <w:rFonts w:cstheme="minorHAnsi"/>
        </w:rPr>
        <w:t xml:space="preserve"> </w:t>
      </w:r>
      <w:r w:rsidR="00877F3C" w:rsidRPr="009D00B3">
        <w:rPr>
          <w:rFonts w:cstheme="minorHAnsi"/>
        </w:rPr>
        <w:t xml:space="preserve">wird </w:t>
      </w:r>
      <w:r w:rsidRPr="009D00B3">
        <w:rPr>
          <w:rFonts w:cstheme="minorHAnsi"/>
        </w:rPr>
        <w:t>wie folgt durchgeführt:</w:t>
      </w:r>
    </w:p>
    <w:p w14:paraId="5FBF14B2" w14:textId="77777777" w:rsidR="00A236DD" w:rsidRPr="009D00B3" w:rsidRDefault="00C62828" w:rsidP="00BA5BEE">
      <w:pPr>
        <w:pStyle w:val="KeinLeerraum"/>
        <w:spacing w:before="120"/>
        <w:ind w:left="709" w:hanging="1"/>
        <w:jc w:val="both"/>
        <w:rPr>
          <w:rFonts w:cstheme="minorHAnsi"/>
        </w:rPr>
      </w:pPr>
      <w:r w:rsidRPr="009D00B3">
        <w:rPr>
          <w:rFonts w:cstheme="minorHAnsi"/>
          <w:u w:val="single"/>
        </w:rPr>
        <w:t>Rangfolge</w:t>
      </w:r>
      <w:r w:rsidR="00A236DD" w:rsidRPr="009D00B3">
        <w:rPr>
          <w:rFonts w:cstheme="minorHAnsi"/>
        </w:rPr>
        <w:t xml:space="preserve"> </w:t>
      </w:r>
      <w:r w:rsidR="006A64C0" w:rsidRPr="009D00B3">
        <w:rPr>
          <w:rFonts w:cstheme="minorHAnsi"/>
        </w:rPr>
        <w:tab/>
      </w:r>
      <w:r w:rsidR="006A64C0" w:rsidRPr="009D00B3">
        <w:rPr>
          <w:rFonts w:cstheme="minorHAnsi"/>
        </w:rPr>
        <w:tab/>
      </w:r>
      <w:r w:rsidRPr="009D00B3">
        <w:rPr>
          <w:rFonts w:cstheme="minorHAnsi"/>
        </w:rPr>
        <w:tab/>
      </w:r>
      <w:r w:rsidR="00A236DD" w:rsidRPr="009D00B3">
        <w:rPr>
          <w:rFonts w:cstheme="minorHAnsi"/>
          <w:u w:val="single"/>
        </w:rPr>
        <w:t>Gruppeneinteilung</w:t>
      </w:r>
    </w:p>
    <w:p w14:paraId="4089D272" w14:textId="77777777" w:rsidR="00A236DD" w:rsidRPr="006D1B22" w:rsidRDefault="00A236DD" w:rsidP="00BA5BEE">
      <w:pPr>
        <w:pStyle w:val="KeinLeerraum"/>
        <w:ind w:left="709" w:hanging="1"/>
        <w:jc w:val="both"/>
        <w:rPr>
          <w:rFonts w:cstheme="minorHAnsi"/>
        </w:rPr>
      </w:pPr>
      <w:r w:rsidRPr="006D1B22">
        <w:rPr>
          <w:rFonts w:cstheme="minorHAnsi"/>
        </w:rPr>
        <w:t>Erster</w:t>
      </w:r>
      <w:r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D82ABA" w:rsidRPr="006D1B22">
        <w:rPr>
          <w:rFonts w:cstheme="minorHAnsi"/>
        </w:rPr>
        <w:t>g</w:t>
      </w:r>
      <w:r w:rsidRPr="006D1B22">
        <w:rPr>
          <w:rFonts w:cstheme="minorHAnsi"/>
        </w:rPr>
        <w:t>elb</w:t>
      </w:r>
    </w:p>
    <w:p w14:paraId="025B3AD5" w14:textId="77777777" w:rsidR="00A236DD" w:rsidRPr="006D1B22" w:rsidRDefault="00A236DD" w:rsidP="00BA5BEE">
      <w:pPr>
        <w:pStyle w:val="KeinLeerraum"/>
        <w:ind w:left="709" w:hanging="1"/>
        <w:jc w:val="both"/>
        <w:rPr>
          <w:rFonts w:cstheme="minorHAnsi"/>
        </w:rPr>
      </w:pPr>
      <w:r w:rsidRPr="006D1B22">
        <w:rPr>
          <w:rFonts w:cstheme="minorHAnsi"/>
        </w:rPr>
        <w:t>Zweiter</w:t>
      </w:r>
      <w:r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D82ABA" w:rsidRPr="006D1B22">
        <w:rPr>
          <w:rFonts w:cstheme="minorHAnsi"/>
        </w:rPr>
        <w:t>b</w:t>
      </w:r>
      <w:r w:rsidRPr="006D1B22">
        <w:rPr>
          <w:rFonts w:cstheme="minorHAnsi"/>
        </w:rPr>
        <w:t>lau</w:t>
      </w:r>
    </w:p>
    <w:p w14:paraId="00ECA193" w14:textId="77777777" w:rsidR="00A236DD" w:rsidRPr="006D1B22" w:rsidRDefault="00A236DD" w:rsidP="00BA5BEE">
      <w:pPr>
        <w:pStyle w:val="KeinLeerraum"/>
        <w:ind w:left="709" w:hanging="1"/>
        <w:jc w:val="both"/>
        <w:rPr>
          <w:rFonts w:cstheme="minorHAnsi"/>
        </w:rPr>
      </w:pPr>
      <w:r w:rsidRPr="006D1B22">
        <w:rPr>
          <w:rFonts w:cstheme="minorHAnsi"/>
        </w:rPr>
        <w:t>Dritter</w:t>
      </w:r>
      <w:r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D82ABA" w:rsidRPr="006D1B22">
        <w:rPr>
          <w:rFonts w:cstheme="minorHAnsi"/>
        </w:rPr>
        <w:t>r</w:t>
      </w:r>
      <w:r w:rsidRPr="006D1B22">
        <w:rPr>
          <w:rFonts w:cstheme="minorHAnsi"/>
        </w:rPr>
        <w:t>ot</w:t>
      </w:r>
    </w:p>
    <w:p w14:paraId="10FF2D9E" w14:textId="77777777" w:rsidR="00A236DD" w:rsidRPr="006D1B22" w:rsidRDefault="00A236DD" w:rsidP="00BA5BEE">
      <w:pPr>
        <w:pStyle w:val="KeinLeerraum"/>
        <w:ind w:left="709" w:hanging="1"/>
        <w:jc w:val="both"/>
        <w:rPr>
          <w:rFonts w:cstheme="minorHAnsi"/>
        </w:rPr>
      </w:pPr>
      <w:r w:rsidRPr="006D1B22">
        <w:rPr>
          <w:rFonts w:cstheme="minorHAnsi"/>
        </w:rPr>
        <w:t>Vierter</w:t>
      </w:r>
      <w:r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D82ABA" w:rsidRPr="006D1B22">
        <w:rPr>
          <w:rFonts w:cstheme="minorHAnsi"/>
        </w:rPr>
        <w:t>g</w:t>
      </w:r>
      <w:r w:rsidRPr="006D1B22">
        <w:rPr>
          <w:rFonts w:cstheme="minorHAnsi"/>
        </w:rPr>
        <w:t>rün</w:t>
      </w:r>
    </w:p>
    <w:p w14:paraId="2885CD20" w14:textId="77777777" w:rsidR="00A236DD" w:rsidRPr="006D1B22" w:rsidRDefault="00A236DD" w:rsidP="00BA5BEE">
      <w:pPr>
        <w:pStyle w:val="KeinLeerraum"/>
        <w:ind w:left="709" w:hanging="1"/>
        <w:jc w:val="both"/>
        <w:rPr>
          <w:rFonts w:cstheme="minorHAnsi"/>
        </w:rPr>
      </w:pPr>
      <w:r w:rsidRPr="006D1B22">
        <w:rPr>
          <w:rFonts w:cstheme="minorHAnsi"/>
        </w:rPr>
        <w:t>Fünfter</w:t>
      </w:r>
      <w:r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D82ABA" w:rsidRPr="006D1B22">
        <w:rPr>
          <w:rFonts w:cstheme="minorHAnsi"/>
        </w:rPr>
        <w:t>g</w:t>
      </w:r>
      <w:r w:rsidRPr="006D1B22">
        <w:rPr>
          <w:rFonts w:cstheme="minorHAnsi"/>
        </w:rPr>
        <w:t>rün</w:t>
      </w:r>
    </w:p>
    <w:p w14:paraId="301B1D53" w14:textId="77777777" w:rsidR="00A236DD" w:rsidRPr="006D1B22" w:rsidRDefault="00A236DD" w:rsidP="00BA5BEE">
      <w:pPr>
        <w:pStyle w:val="KeinLeerraum"/>
        <w:ind w:left="709" w:hanging="1"/>
        <w:jc w:val="both"/>
        <w:rPr>
          <w:rFonts w:cstheme="minorHAnsi"/>
        </w:rPr>
      </w:pPr>
      <w:r w:rsidRPr="006D1B22">
        <w:rPr>
          <w:rFonts w:cstheme="minorHAnsi"/>
        </w:rPr>
        <w:t>Sechster</w:t>
      </w:r>
      <w:r w:rsidR="006A64C0"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D82ABA" w:rsidRPr="006D1B22">
        <w:rPr>
          <w:rFonts w:cstheme="minorHAnsi"/>
        </w:rPr>
        <w:t>r</w:t>
      </w:r>
      <w:r w:rsidRPr="006D1B22">
        <w:rPr>
          <w:rFonts w:cstheme="minorHAnsi"/>
        </w:rPr>
        <w:t>ot</w:t>
      </w:r>
    </w:p>
    <w:p w14:paraId="1B40B6E5" w14:textId="77777777" w:rsidR="00A236DD" w:rsidRPr="006D1B22" w:rsidRDefault="00A236DD" w:rsidP="00BA5BEE">
      <w:pPr>
        <w:pStyle w:val="KeinLeerraum"/>
        <w:ind w:left="709" w:hanging="1"/>
        <w:jc w:val="both"/>
        <w:rPr>
          <w:rFonts w:cstheme="minorHAnsi"/>
        </w:rPr>
      </w:pPr>
      <w:r w:rsidRPr="006D1B22">
        <w:rPr>
          <w:rFonts w:cstheme="minorHAnsi"/>
        </w:rPr>
        <w:t>Siebter</w:t>
      </w:r>
      <w:r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D82ABA" w:rsidRPr="006D1B22">
        <w:rPr>
          <w:rFonts w:cstheme="minorHAnsi"/>
        </w:rPr>
        <w:t>b</w:t>
      </w:r>
      <w:r w:rsidRPr="006D1B22">
        <w:rPr>
          <w:rFonts w:cstheme="minorHAnsi"/>
        </w:rPr>
        <w:t>lau</w:t>
      </w:r>
    </w:p>
    <w:p w14:paraId="1CB53C72" w14:textId="77777777" w:rsidR="006A64C0" w:rsidRPr="009D00B3" w:rsidRDefault="00A236DD" w:rsidP="00BA5BEE">
      <w:pPr>
        <w:pStyle w:val="KeinLeerraum"/>
        <w:ind w:left="709" w:hanging="1"/>
        <w:jc w:val="both"/>
        <w:rPr>
          <w:rFonts w:cstheme="minorHAnsi"/>
        </w:rPr>
      </w:pPr>
      <w:r w:rsidRPr="006D1B22">
        <w:rPr>
          <w:rFonts w:cstheme="minorHAnsi"/>
        </w:rPr>
        <w:t>Achter</w:t>
      </w:r>
      <w:r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D82ABA" w:rsidRPr="006D1B22">
        <w:rPr>
          <w:rFonts w:cstheme="minorHAnsi"/>
        </w:rPr>
        <w:t>g</w:t>
      </w:r>
      <w:r w:rsidRPr="006D1B22">
        <w:rPr>
          <w:rFonts w:cstheme="minorHAnsi"/>
        </w:rPr>
        <w:t>elb</w:t>
      </w:r>
      <w:r w:rsidRPr="009D00B3">
        <w:rPr>
          <w:rFonts w:cstheme="minorHAnsi"/>
        </w:rPr>
        <w:t xml:space="preserve"> </w:t>
      </w:r>
    </w:p>
    <w:p w14:paraId="6FDC9F4D" w14:textId="77777777" w:rsidR="00A236DD" w:rsidRPr="009D00B3" w:rsidRDefault="00847C9A" w:rsidP="00BA5BEE">
      <w:pPr>
        <w:pStyle w:val="KeinLeerraum"/>
        <w:ind w:left="709" w:hanging="4"/>
        <w:jc w:val="both"/>
        <w:rPr>
          <w:rFonts w:cstheme="minorHAnsi"/>
        </w:rPr>
      </w:pPr>
      <w:r w:rsidRPr="009D00B3">
        <w:rPr>
          <w:rFonts w:cstheme="minorHAnsi"/>
        </w:rPr>
        <w:t>u</w:t>
      </w:r>
      <w:r w:rsidR="00A236DD" w:rsidRPr="009D00B3">
        <w:rPr>
          <w:rFonts w:cstheme="minorHAnsi"/>
        </w:rPr>
        <w:t>nd so weiter …</w:t>
      </w:r>
    </w:p>
    <w:p w14:paraId="6E4946C4" w14:textId="76156FC0" w:rsidR="00A236DD" w:rsidRPr="009D00B3" w:rsidRDefault="00A236DD" w:rsidP="00BA5BEE">
      <w:pPr>
        <w:pStyle w:val="KeinLeerraum"/>
        <w:spacing w:before="120"/>
        <w:ind w:left="709" w:hanging="6"/>
        <w:jc w:val="both"/>
        <w:rPr>
          <w:rFonts w:cstheme="minorHAnsi"/>
        </w:rPr>
      </w:pPr>
      <w:r w:rsidRPr="009D00B3">
        <w:rPr>
          <w:rFonts w:cstheme="minorHAnsi"/>
        </w:rPr>
        <w:t xml:space="preserve">Falls zwei </w:t>
      </w:r>
      <w:r w:rsidR="006A64C0" w:rsidRPr="009D00B3">
        <w:rPr>
          <w:rFonts w:cstheme="minorHAnsi"/>
        </w:rPr>
        <w:t xml:space="preserve">oder mehr Boote die gleiche </w:t>
      </w:r>
      <w:r w:rsidR="00C62828" w:rsidRPr="009D00B3">
        <w:rPr>
          <w:rFonts w:cstheme="minorHAnsi"/>
        </w:rPr>
        <w:t>Rangfolge</w:t>
      </w:r>
      <w:r w:rsidR="006A64C0" w:rsidRPr="009D00B3">
        <w:rPr>
          <w:rFonts w:cstheme="minorHAnsi"/>
        </w:rPr>
        <w:t xml:space="preserve"> </w:t>
      </w:r>
      <w:r w:rsidRPr="009D00B3">
        <w:rPr>
          <w:rFonts w:cstheme="minorHAnsi"/>
        </w:rPr>
        <w:t>haben</w:t>
      </w:r>
      <w:r w:rsidR="006B22D2" w:rsidRPr="009D00B3">
        <w:rPr>
          <w:rFonts w:cstheme="minorHAnsi"/>
        </w:rPr>
        <w:t>,</w:t>
      </w:r>
      <w:r w:rsidRPr="009D00B3">
        <w:rPr>
          <w:rFonts w:cstheme="minorHAnsi"/>
        </w:rPr>
        <w:t xml:space="preserve"> werden diese in der linken Spalte entsprechend d</w:t>
      </w:r>
      <w:r w:rsidR="00A335D8">
        <w:rPr>
          <w:rFonts w:cstheme="minorHAnsi"/>
        </w:rPr>
        <w:t>iese</w:t>
      </w:r>
      <w:r w:rsidR="00E557F1">
        <w:rPr>
          <w:rFonts w:cstheme="minorHAnsi"/>
        </w:rPr>
        <w:t>r</w:t>
      </w:r>
      <w:r w:rsidR="006A64C0" w:rsidRPr="009D00B3">
        <w:rPr>
          <w:rFonts w:cstheme="minorHAnsi"/>
        </w:rPr>
        <w:t xml:space="preserve"> </w:t>
      </w:r>
      <w:r w:rsidRPr="009D00B3">
        <w:rPr>
          <w:rFonts w:cstheme="minorHAnsi"/>
        </w:rPr>
        <w:t>Rei</w:t>
      </w:r>
      <w:r w:rsidR="006A64C0" w:rsidRPr="009D00B3">
        <w:rPr>
          <w:rFonts w:cstheme="minorHAnsi"/>
        </w:rPr>
        <w:t xml:space="preserve">hung der Gruppen </w:t>
      </w:r>
      <w:r w:rsidRPr="009D00B3">
        <w:rPr>
          <w:rFonts w:cstheme="minorHAnsi"/>
        </w:rPr>
        <w:t>gesetzt.</w:t>
      </w:r>
    </w:p>
    <w:p w14:paraId="0C2CB030" w14:textId="4FEFB843" w:rsidR="00A236DD" w:rsidRPr="009D00B3" w:rsidRDefault="009D00B3" w:rsidP="00BA5BEE">
      <w:pPr>
        <w:pStyle w:val="KeinLeerraum"/>
        <w:numPr>
          <w:ilvl w:val="1"/>
          <w:numId w:val="10"/>
        </w:numPr>
        <w:ind w:left="709" w:hanging="709"/>
        <w:jc w:val="both"/>
        <w:rPr>
          <w:rFonts w:cstheme="minorHAnsi"/>
        </w:rPr>
      </w:pPr>
      <w:r>
        <w:rPr>
          <w:rFonts w:cstheme="minorHAnsi"/>
        </w:rPr>
        <w:t xml:space="preserve">Die </w:t>
      </w:r>
      <w:r w:rsidR="00A236DD" w:rsidRPr="009D00B3">
        <w:rPr>
          <w:rFonts w:cstheme="minorHAnsi"/>
        </w:rPr>
        <w:t>Gruppeneinteilu</w:t>
      </w:r>
      <w:r w:rsidR="00FE3D3D" w:rsidRPr="009D00B3">
        <w:rPr>
          <w:rFonts w:cstheme="minorHAnsi"/>
        </w:rPr>
        <w:t xml:space="preserve">ngen erfolgen auf </w:t>
      </w:r>
      <w:r w:rsidR="00A236DD" w:rsidRPr="009D00B3">
        <w:rPr>
          <w:rFonts w:cstheme="minorHAnsi"/>
        </w:rPr>
        <w:t xml:space="preserve">Basis der um </w:t>
      </w:r>
      <w:r w:rsidR="00A236DD" w:rsidRPr="00492A1E">
        <w:rPr>
          <w:rFonts w:cstheme="minorHAnsi"/>
          <w:highlight w:val="yellow"/>
        </w:rPr>
        <w:t>21:00</w:t>
      </w:r>
      <w:r w:rsidR="00CE7CF8" w:rsidRPr="00A0095A">
        <w:rPr>
          <w:rFonts w:cstheme="minorHAnsi"/>
        </w:rPr>
        <w:t xml:space="preserve"> Uhr</w:t>
      </w:r>
      <w:r w:rsidR="00CE7CF8" w:rsidRPr="009D00B3">
        <w:rPr>
          <w:rFonts w:cstheme="minorHAnsi"/>
        </w:rPr>
        <w:t xml:space="preserve"> verfügbaren Ergebnislisten, </w:t>
      </w:r>
      <w:r w:rsidR="00A236DD" w:rsidRPr="009D00B3">
        <w:rPr>
          <w:rFonts w:cstheme="minorHAnsi"/>
        </w:rPr>
        <w:t xml:space="preserve">unabhängig </w:t>
      </w:r>
      <w:r>
        <w:rPr>
          <w:rFonts w:cstheme="minorHAnsi"/>
        </w:rPr>
        <w:t xml:space="preserve">von </w:t>
      </w:r>
      <w:r w:rsidR="00A236DD" w:rsidRPr="009D00B3">
        <w:rPr>
          <w:rFonts w:cstheme="minorHAnsi"/>
        </w:rPr>
        <w:t>aus</w:t>
      </w:r>
      <w:r w:rsidR="00CE7CF8" w:rsidRPr="009D00B3">
        <w:rPr>
          <w:rFonts w:cstheme="minorHAnsi"/>
        </w:rPr>
        <w:t>stehen</w:t>
      </w:r>
      <w:r w:rsidR="002E5A74" w:rsidRPr="009D00B3">
        <w:rPr>
          <w:rFonts w:cstheme="minorHAnsi"/>
        </w:rPr>
        <w:t>de</w:t>
      </w:r>
      <w:r>
        <w:rPr>
          <w:rFonts w:cstheme="minorHAnsi"/>
        </w:rPr>
        <w:t>n</w:t>
      </w:r>
      <w:r w:rsidR="002E5A74" w:rsidRPr="009D00B3">
        <w:rPr>
          <w:rFonts w:cstheme="minorHAnsi"/>
        </w:rPr>
        <w:t xml:space="preserve"> Proteste</w:t>
      </w:r>
      <w:r>
        <w:rPr>
          <w:rFonts w:cstheme="minorHAnsi"/>
        </w:rPr>
        <w:t>n</w:t>
      </w:r>
      <w:r w:rsidR="002E5A74" w:rsidRPr="009D00B3">
        <w:rPr>
          <w:rFonts w:cstheme="minorHAnsi"/>
        </w:rPr>
        <w:t xml:space="preserve"> oder Anträge</w:t>
      </w:r>
      <w:r>
        <w:rPr>
          <w:rFonts w:cstheme="minorHAnsi"/>
        </w:rPr>
        <w:t>n</w:t>
      </w:r>
      <w:r w:rsidR="002E5A74" w:rsidRPr="009D00B3">
        <w:rPr>
          <w:rFonts w:cstheme="minorHAnsi"/>
        </w:rPr>
        <w:t xml:space="preserve"> auf </w:t>
      </w:r>
      <w:r w:rsidR="00FE3D3D" w:rsidRPr="009D00B3">
        <w:rPr>
          <w:rFonts w:cstheme="minorHAnsi"/>
        </w:rPr>
        <w:t>Wiedergutmachung</w:t>
      </w:r>
      <w:r w:rsidR="00A236DD" w:rsidRPr="009D00B3">
        <w:rPr>
          <w:rFonts w:cstheme="minorHAnsi"/>
        </w:rPr>
        <w:t>.</w:t>
      </w:r>
    </w:p>
    <w:p w14:paraId="296FD2F8" w14:textId="3A7CB237" w:rsidR="00E02518" w:rsidRPr="009D00B3" w:rsidRDefault="00A236DD" w:rsidP="00BA5BEE">
      <w:pPr>
        <w:pStyle w:val="KeinLeerraum"/>
        <w:numPr>
          <w:ilvl w:val="1"/>
          <w:numId w:val="10"/>
        </w:numPr>
        <w:ind w:left="709" w:hanging="709"/>
        <w:jc w:val="both"/>
        <w:rPr>
          <w:rFonts w:cstheme="minorHAnsi"/>
        </w:rPr>
      </w:pPr>
      <w:r w:rsidRPr="009D00B3">
        <w:rPr>
          <w:rFonts w:cstheme="minorHAnsi"/>
        </w:rPr>
        <w:t>Falls nicht alle Gruppen am Ende eines Tages die gleiche</w:t>
      </w:r>
      <w:r w:rsidR="00CE7CF8" w:rsidRPr="009D00B3">
        <w:rPr>
          <w:rFonts w:cstheme="minorHAnsi"/>
        </w:rPr>
        <w:t xml:space="preserve"> </w:t>
      </w:r>
      <w:r w:rsidRPr="009D00B3">
        <w:rPr>
          <w:rFonts w:cstheme="minorHAnsi"/>
        </w:rPr>
        <w:t xml:space="preserve">Anzahl von Wettfahrten </w:t>
      </w:r>
      <w:r w:rsidR="00CE7CF8" w:rsidRPr="009D00B3">
        <w:rPr>
          <w:rFonts w:cstheme="minorHAnsi"/>
        </w:rPr>
        <w:t>vollendet</w:t>
      </w:r>
      <w:r w:rsidRPr="009D00B3">
        <w:rPr>
          <w:rFonts w:cstheme="minorHAnsi"/>
        </w:rPr>
        <w:t xml:space="preserve"> haben, werden die</w:t>
      </w:r>
      <w:r w:rsidR="00CE7CF8" w:rsidRPr="009D00B3">
        <w:rPr>
          <w:rFonts w:cstheme="minorHAnsi"/>
        </w:rPr>
        <w:t xml:space="preserve"> </w:t>
      </w:r>
      <w:r w:rsidRPr="009D00B3">
        <w:rPr>
          <w:rFonts w:cstheme="minorHAnsi"/>
        </w:rPr>
        <w:t>Gruppen mit weniger W</w:t>
      </w:r>
      <w:r w:rsidR="00CE7CF8" w:rsidRPr="009D00B3">
        <w:rPr>
          <w:rFonts w:cstheme="minorHAnsi"/>
        </w:rPr>
        <w:t xml:space="preserve">ettfahrten am folgenden Tag </w:t>
      </w:r>
      <w:r w:rsidR="002E5A74" w:rsidRPr="009D00B3">
        <w:rPr>
          <w:rFonts w:cstheme="minorHAnsi"/>
        </w:rPr>
        <w:t xml:space="preserve">in ihren Gruppen </w:t>
      </w:r>
      <w:r w:rsidR="00CE7CF8" w:rsidRPr="009D00B3">
        <w:rPr>
          <w:rFonts w:cstheme="minorHAnsi"/>
        </w:rPr>
        <w:t>wei</w:t>
      </w:r>
      <w:r w:rsidRPr="009D00B3">
        <w:rPr>
          <w:rFonts w:cstheme="minorHAnsi"/>
        </w:rPr>
        <w:t>ter segeln, bis alle Gruppen die</w:t>
      </w:r>
      <w:r w:rsidR="00CE7CF8" w:rsidRPr="009D00B3">
        <w:rPr>
          <w:rFonts w:cstheme="minorHAnsi"/>
        </w:rPr>
        <w:t xml:space="preserve"> gleiche Anzahl von Wett</w:t>
      </w:r>
      <w:r w:rsidRPr="009D00B3">
        <w:rPr>
          <w:rFonts w:cstheme="minorHAnsi"/>
        </w:rPr>
        <w:t>fahrten erreicht haben. Danach werden alle Boote in der</w:t>
      </w:r>
      <w:r w:rsidR="002E5A74" w:rsidRPr="009D00B3">
        <w:rPr>
          <w:rFonts w:cstheme="minorHAnsi"/>
        </w:rPr>
        <w:t xml:space="preserve"> </w:t>
      </w:r>
      <w:r w:rsidRPr="009D00B3">
        <w:rPr>
          <w:rFonts w:cstheme="minorHAnsi"/>
        </w:rPr>
        <w:t>neuen Gruppeneinteilung segeln.</w:t>
      </w:r>
    </w:p>
    <w:p w14:paraId="22D10EE7" w14:textId="77777777" w:rsidR="00CE7CF8" w:rsidRPr="009D00B3" w:rsidRDefault="00CE7CF8" w:rsidP="00BA5BEE">
      <w:pPr>
        <w:pStyle w:val="KeinLeerraum"/>
        <w:jc w:val="both"/>
        <w:rPr>
          <w:rFonts w:cstheme="minorHAnsi"/>
        </w:rPr>
      </w:pPr>
    </w:p>
    <w:p w14:paraId="49356825" w14:textId="13088D4E" w:rsidR="00CE7CF8" w:rsidRPr="009D00B3" w:rsidRDefault="00CE7CF8" w:rsidP="00BA5BEE">
      <w:pPr>
        <w:pStyle w:val="KeinLeerraum"/>
        <w:numPr>
          <w:ilvl w:val="0"/>
          <w:numId w:val="10"/>
        </w:numPr>
        <w:ind w:left="709" w:hanging="709"/>
        <w:jc w:val="both"/>
        <w:rPr>
          <w:rFonts w:cstheme="minorHAnsi"/>
          <w:b/>
        </w:rPr>
      </w:pPr>
      <w:r w:rsidRPr="009D00B3">
        <w:rPr>
          <w:rFonts w:cstheme="minorHAnsi"/>
          <w:b/>
        </w:rPr>
        <w:t>FINALSERIE</w:t>
      </w:r>
    </w:p>
    <w:p w14:paraId="2A336F15" w14:textId="5B80E271" w:rsidR="00CE7CF8" w:rsidRPr="009D00B3" w:rsidRDefault="00CE7CF8" w:rsidP="00BA5BEE">
      <w:pPr>
        <w:pStyle w:val="KeinLeerraum"/>
        <w:numPr>
          <w:ilvl w:val="1"/>
          <w:numId w:val="10"/>
        </w:numPr>
        <w:ind w:left="709" w:hanging="709"/>
        <w:jc w:val="both"/>
        <w:rPr>
          <w:rFonts w:cstheme="minorHAnsi"/>
        </w:rPr>
      </w:pPr>
      <w:r w:rsidRPr="009D00B3">
        <w:rPr>
          <w:rFonts w:cstheme="minorHAnsi"/>
        </w:rPr>
        <w:t>In der Finalserie gibt es die gleiche Anzahl von Gruppen wie in der Qualifikationsserie. Boote mit den besten Platzierungen aus der Qualifikationsserie segeln alle Wettfahrten der Finalserie in der Goldgruppe usw.</w:t>
      </w:r>
    </w:p>
    <w:p w14:paraId="12394A9B" w14:textId="1CBA6306" w:rsidR="002E5A74" w:rsidRDefault="002E5A74" w:rsidP="00BA5BEE">
      <w:pPr>
        <w:pStyle w:val="KeinLeerraum"/>
        <w:numPr>
          <w:ilvl w:val="1"/>
          <w:numId w:val="10"/>
        </w:numPr>
        <w:ind w:left="709" w:hanging="709"/>
        <w:jc w:val="both"/>
        <w:rPr>
          <w:rFonts w:cstheme="minorHAnsi"/>
        </w:rPr>
      </w:pPr>
      <w:r w:rsidRPr="009D00B3">
        <w:rPr>
          <w:rFonts w:cstheme="minorHAnsi"/>
        </w:rPr>
        <w:t xml:space="preserve">Jede Neuberechnung einer </w:t>
      </w:r>
      <w:r w:rsidR="00C62828" w:rsidRPr="009D00B3">
        <w:rPr>
          <w:rFonts w:cstheme="minorHAnsi"/>
        </w:rPr>
        <w:t>Rangfolge</w:t>
      </w:r>
      <w:r w:rsidRPr="009D00B3">
        <w:rPr>
          <w:rFonts w:cstheme="minorHAnsi"/>
        </w:rPr>
        <w:t xml:space="preserve"> in der Qualifikationsserie nach Einteilung der Boote in die Finalserie hat keine Auswirkung auf die Einteilung, außer die Entscheidung </w:t>
      </w:r>
      <w:r w:rsidR="00007EB2" w:rsidRPr="009D00B3">
        <w:rPr>
          <w:rFonts w:cstheme="minorHAnsi"/>
        </w:rPr>
        <w:t>über eine Wiedergutmachung stuft</w:t>
      </w:r>
      <w:r w:rsidRPr="009D00B3">
        <w:rPr>
          <w:rFonts w:cstheme="minorHAnsi"/>
        </w:rPr>
        <w:t xml:space="preserve"> ein Boot in eine höhere Gruppe </w:t>
      </w:r>
      <w:r w:rsidR="00007EB2" w:rsidRPr="009D00B3">
        <w:rPr>
          <w:rFonts w:cstheme="minorHAnsi"/>
        </w:rPr>
        <w:t>ein.</w:t>
      </w:r>
      <w:r w:rsidRPr="009D00B3">
        <w:rPr>
          <w:rFonts w:cstheme="minorHAnsi"/>
        </w:rPr>
        <w:t xml:space="preserve"> </w:t>
      </w:r>
    </w:p>
    <w:p w14:paraId="35759AD9" w14:textId="77777777" w:rsidR="00F70D12" w:rsidRDefault="00F70D12" w:rsidP="00F70D12">
      <w:pPr>
        <w:pStyle w:val="KeinLeerraum"/>
        <w:jc w:val="both"/>
        <w:rPr>
          <w:rFonts w:cstheme="minorHAnsi"/>
        </w:rPr>
      </w:pPr>
    </w:p>
    <w:p w14:paraId="43D1CD50" w14:textId="42D4E1E2" w:rsidR="001D0ED0" w:rsidRPr="00F70D12" w:rsidRDefault="00F70D12" w:rsidP="00F70D12">
      <w:pPr>
        <w:pStyle w:val="KeinLeerraum"/>
        <w:numPr>
          <w:ilvl w:val="0"/>
          <w:numId w:val="10"/>
        </w:numPr>
        <w:ind w:left="709" w:hanging="709"/>
        <w:jc w:val="both"/>
        <w:rPr>
          <w:rFonts w:cstheme="minorHAnsi"/>
          <w:b/>
        </w:rPr>
      </w:pPr>
      <w:r w:rsidRPr="00F70D12">
        <w:rPr>
          <w:rFonts w:cstheme="minorHAnsi"/>
          <w:b/>
        </w:rPr>
        <w:t>GRUPPENFLAGGEN</w:t>
      </w:r>
    </w:p>
    <w:p w14:paraId="6B8E5E5B" w14:textId="54C98C8B" w:rsidR="00F70D12" w:rsidRDefault="00F70D12" w:rsidP="00395D60">
      <w:pPr>
        <w:pStyle w:val="KeinLeerraum"/>
        <w:ind w:left="709"/>
        <w:rPr>
          <w:rFonts w:cstheme="minorHAnsi"/>
        </w:rPr>
      </w:pPr>
      <w:r>
        <w:rPr>
          <w:rFonts w:cstheme="minorHAnsi"/>
        </w:rPr>
        <w:t>Gruppenflaggen sind wie folgt definiert:</w:t>
      </w:r>
      <w:r w:rsidR="00395D60">
        <w:rPr>
          <w:rFonts w:cstheme="minorHAnsi"/>
        </w:rPr>
        <w:tab/>
      </w:r>
      <w:r w:rsidR="00395D60">
        <w:rPr>
          <w:rFonts w:cstheme="minorHAnsi"/>
        </w:rPr>
        <w:tab/>
      </w:r>
    </w:p>
    <w:tbl>
      <w:tblPr>
        <w:tblStyle w:val="Tabellenraster"/>
        <w:tblW w:w="8198" w:type="dxa"/>
        <w:tblInd w:w="709" w:type="dxa"/>
        <w:tblLook w:val="04A0" w:firstRow="1" w:lastRow="0" w:firstColumn="1" w:lastColumn="0" w:noHBand="0" w:noVBand="1"/>
      </w:tblPr>
      <w:tblGrid>
        <w:gridCol w:w="3368"/>
        <w:gridCol w:w="1193"/>
        <w:gridCol w:w="1201"/>
        <w:gridCol w:w="1211"/>
        <w:gridCol w:w="1225"/>
      </w:tblGrid>
      <w:tr w:rsidR="00395D60" w14:paraId="1CF0C6C1" w14:textId="77777777" w:rsidTr="00F67A0A">
        <w:tc>
          <w:tcPr>
            <w:tcW w:w="3368" w:type="dxa"/>
          </w:tcPr>
          <w:p w14:paraId="13D92C2E" w14:textId="758D9877" w:rsidR="00395D60" w:rsidRDefault="00F67A0A" w:rsidP="00F70D12">
            <w:pPr>
              <w:pStyle w:val="KeinLeerraum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Gruppe in der </w:t>
            </w:r>
            <w:r w:rsidR="00395D60">
              <w:rPr>
                <w:rFonts w:cstheme="minorHAnsi"/>
                <w:b/>
              </w:rPr>
              <w:t>Qualifikationsserie</w:t>
            </w:r>
          </w:p>
        </w:tc>
        <w:tc>
          <w:tcPr>
            <w:tcW w:w="1193" w:type="dxa"/>
          </w:tcPr>
          <w:p w14:paraId="0D809769" w14:textId="7D2510B2" w:rsidR="00395D60" w:rsidRDefault="00395D60" w:rsidP="00F70D12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Gelb</w:t>
            </w:r>
          </w:p>
        </w:tc>
        <w:tc>
          <w:tcPr>
            <w:tcW w:w="1201" w:type="dxa"/>
          </w:tcPr>
          <w:p w14:paraId="193D618D" w14:textId="7A9444BF" w:rsidR="00395D60" w:rsidRDefault="00395D60" w:rsidP="00F70D12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Blau</w:t>
            </w:r>
          </w:p>
        </w:tc>
        <w:tc>
          <w:tcPr>
            <w:tcW w:w="1211" w:type="dxa"/>
          </w:tcPr>
          <w:p w14:paraId="62D41FDC" w14:textId="2A42AB02" w:rsidR="00395D60" w:rsidRDefault="00395D60" w:rsidP="00F70D12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Rot</w:t>
            </w:r>
          </w:p>
        </w:tc>
        <w:tc>
          <w:tcPr>
            <w:tcW w:w="1225" w:type="dxa"/>
          </w:tcPr>
          <w:p w14:paraId="7ED71941" w14:textId="1F5D739E" w:rsidR="00395D60" w:rsidRDefault="00395D60" w:rsidP="00F70D12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Grün</w:t>
            </w:r>
          </w:p>
        </w:tc>
      </w:tr>
      <w:tr w:rsidR="00395D60" w14:paraId="43FE6435" w14:textId="77777777" w:rsidTr="00F67A0A">
        <w:tc>
          <w:tcPr>
            <w:tcW w:w="3368" w:type="dxa"/>
          </w:tcPr>
          <w:p w14:paraId="0867E22B" w14:textId="59D2F85F" w:rsidR="00395D60" w:rsidRPr="00395D60" w:rsidRDefault="00F67A0A" w:rsidP="00F70D12">
            <w:pPr>
              <w:pStyle w:val="KeinLeerraum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Gruppe in der </w:t>
            </w:r>
            <w:r w:rsidR="00395D60">
              <w:rPr>
                <w:rFonts w:cstheme="minorHAnsi"/>
                <w:b/>
              </w:rPr>
              <w:t>Finalserie</w:t>
            </w:r>
          </w:p>
        </w:tc>
        <w:tc>
          <w:tcPr>
            <w:tcW w:w="1193" w:type="dxa"/>
          </w:tcPr>
          <w:p w14:paraId="145C3223" w14:textId="45E4D58C" w:rsidR="00395D60" w:rsidRDefault="00395D60" w:rsidP="00F70D12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Gold</w:t>
            </w:r>
          </w:p>
        </w:tc>
        <w:tc>
          <w:tcPr>
            <w:tcW w:w="1201" w:type="dxa"/>
          </w:tcPr>
          <w:p w14:paraId="2FFC2A21" w14:textId="49B8B8FE" w:rsidR="00395D60" w:rsidRDefault="00395D60" w:rsidP="00F70D12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Silber</w:t>
            </w:r>
          </w:p>
        </w:tc>
        <w:tc>
          <w:tcPr>
            <w:tcW w:w="1211" w:type="dxa"/>
          </w:tcPr>
          <w:p w14:paraId="77E8FD6A" w14:textId="525441C5" w:rsidR="00395D60" w:rsidRDefault="00395D60" w:rsidP="00F70D12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Bronze</w:t>
            </w:r>
          </w:p>
        </w:tc>
        <w:tc>
          <w:tcPr>
            <w:tcW w:w="1225" w:type="dxa"/>
          </w:tcPr>
          <w:p w14:paraId="404ECC03" w14:textId="3E9AD70F" w:rsidR="00395D60" w:rsidRDefault="00395D60" w:rsidP="00F70D12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Smaragd</w:t>
            </w:r>
          </w:p>
        </w:tc>
      </w:tr>
      <w:tr w:rsidR="00395D60" w14:paraId="14A9F43F" w14:textId="77777777" w:rsidTr="00F67A0A">
        <w:tc>
          <w:tcPr>
            <w:tcW w:w="3368" w:type="dxa"/>
          </w:tcPr>
          <w:p w14:paraId="115710DC" w14:textId="3DA1AABF" w:rsidR="00395D60" w:rsidRPr="00395D60" w:rsidRDefault="00395D60" w:rsidP="00F70D12">
            <w:pPr>
              <w:pStyle w:val="KeinLeerraum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Farbe der </w:t>
            </w:r>
            <w:r w:rsidRPr="00395D60">
              <w:rPr>
                <w:rFonts w:cstheme="minorHAnsi"/>
                <w:b/>
              </w:rPr>
              <w:t>Gruppenflagge</w:t>
            </w:r>
          </w:p>
        </w:tc>
        <w:tc>
          <w:tcPr>
            <w:tcW w:w="1193" w:type="dxa"/>
          </w:tcPr>
          <w:p w14:paraId="542E85F6" w14:textId="438B2F7F" w:rsidR="00395D60" w:rsidRDefault="00395D60" w:rsidP="00F70D12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Gelb</w:t>
            </w:r>
          </w:p>
        </w:tc>
        <w:tc>
          <w:tcPr>
            <w:tcW w:w="1201" w:type="dxa"/>
          </w:tcPr>
          <w:p w14:paraId="17D6177F" w14:textId="04D73ED2" w:rsidR="00395D60" w:rsidRDefault="00395D60" w:rsidP="00F70D12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Blau</w:t>
            </w:r>
          </w:p>
        </w:tc>
        <w:tc>
          <w:tcPr>
            <w:tcW w:w="1211" w:type="dxa"/>
          </w:tcPr>
          <w:p w14:paraId="0B50108C" w14:textId="6A6CF580" w:rsidR="00395D60" w:rsidRDefault="00395D60" w:rsidP="00F70D12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Rot</w:t>
            </w:r>
          </w:p>
        </w:tc>
        <w:tc>
          <w:tcPr>
            <w:tcW w:w="1225" w:type="dxa"/>
          </w:tcPr>
          <w:p w14:paraId="1997812F" w14:textId="1D92138F" w:rsidR="00395D60" w:rsidRDefault="00395D60" w:rsidP="00F70D12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Grün</w:t>
            </w:r>
          </w:p>
        </w:tc>
      </w:tr>
    </w:tbl>
    <w:p w14:paraId="674521F7" w14:textId="77777777" w:rsidR="00876A26" w:rsidRPr="00395D60" w:rsidRDefault="00876A26" w:rsidP="00F70D12">
      <w:pPr>
        <w:pStyle w:val="KeinLeerraum"/>
        <w:ind w:left="709"/>
        <w:rPr>
          <w:rFonts w:cstheme="minorHAnsi"/>
          <w:sz w:val="4"/>
          <w:szCs w:val="4"/>
        </w:rPr>
      </w:pPr>
    </w:p>
    <w:sectPr w:rsidR="00876A26" w:rsidRPr="00395D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19EA5" w14:textId="77777777" w:rsidR="004E1DD5" w:rsidRDefault="004E1DD5" w:rsidP="005D353F">
      <w:pPr>
        <w:spacing w:after="0" w:line="240" w:lineRule="auto"/>
      </w:pPr>
      <w:r>
        <w:separator/>
      </w:r>
    </w:p>
  </w:endnote>
  <w:endnote w:type="continuationSeparator" w:id="0">
    <w:p w14:paraId="7DE60576" w14:textId="77777777" w:rsidR="004E1DD5" w:rsidRDefault="004E1DD5" w:rsidP="005D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CE89" w14:textId="77777777" w:rsidR="00933463" w:rsidRDefault="009334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E784" w14:textId="2195B9DE" w:rsidR="005D353F" w:rsidRPr="00924C94" w:rsidRDefault="005D353F" w:rsidP="005D353F">
    <w:pPr>
      <w:pStyle w:val="Fuzeile"/>
      <w:jc w:val="right"/>
      <w:rPr>
        <w:lang w:val="de-DE"/>
      </w:rPr>
    </w:pPr>
    <w:r w:rsidRPr="00924C94">
      <w:rPr>
        <w:lang w:val="de-DE"/>
      </w:rPr>
      <w:t xml:space="preserve">Bearbeitungsstand: </w:t>
    </w:r>
    <w:r w:rsidR="008102BB">
      <w:rPr>
        <w:lang w:val="de-DE"/>
      </w:rPr>
      <w:t>April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40F7" w14:textId="77777777" w:rsidR="00933463" w:rsidRDefault="009334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AEBBD" w14:textId="77777777" w:rsidR="004E1DD5" w:rsidRDefault="004E1DD5" w:rsidP="005D353F">
      <w:pPr>
        <w:spacing w:after="0" w:line="240" w:lineRule="auto"/>
      </w:pPr>
      <w:r>
        <w:separator/>
      </w:r>
    </w:p>
  </w:footnote>
  <w:footnote w:type="continuationSeparator" w:id="0">
    <w:p w14:paraId="167F379E" w14:textId="77777777" w:rsidR="004E1DD5" w:rsidRDefault="004E1DD5" w:rsidP="005D3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4FB6" w14:textId="77777777" w:rsidR="00933463" w:rsidRDefault="009334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3522" w14:textId="77777777" w:rsidR="00933463" w:rsidRDefault="009334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3699" w14:textId="77777777" w:rsidR="00933463" w:rsidRDefault="009334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9F6"/>
    <w:multiLevelType w:val="multilevel"/>
    <w:tmpl w:val="6B2256E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6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8" w:hanging="1800"/>
      </w:pPr>
      <w:rPr>
        <w:rFonts w:hint="default"/>
      </w:rPr>
    </w:lvl>
  </w:abstractNum>
  <w:abstractNum w:abstractNumId="1" w15:restartNumberingAfterBreak="0">
    <w:nsid w:val="1D8A7490"/>
    <w:multiLevelType w:val="multilevel"/>
    <w:tmpl w:val="402E9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3F420A"/>
    <w:multiLevelType w:val="multilevel"/>
    <w:tmpl w:val="8B4A33D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2DE327E1"/>
    <w:multiLevelType w:val="hybridMultilevel"/>
    <w:tmpl w:val="765AB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2312E"/>
    <w:multiLevelType w:val="hybridMultilevel"/>
    <w:tmpl w:val="A74235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93606"/>
    <w:multiLevelType w:val="multilevel"/>
    <w:tmpl w:val="66AC51D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C9976C8"/>
    <w:multiLevelType w:val="hybridMultilevel"/>
    <w:tmpl w:val="6FB03BE8"/>
    <w:lvl w:ilvl="0" w:tplc="FA369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721FB"/>
    <w:multiLevelType w:val="hybridMultilevel"/>
    <w:tmpl w:val="9C0863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86D52"/>
    <w:multiLevelType w:val="multilevel"/>
    <w:tmpl w:val="7C16B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B554FAD"/>
    <w:multiLevelType w:val="multilevel"/>
    <w:tmpl w:val="B890F10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-Porto::GUID" w:val="{3be6fc29-d9d9-458b-abf8-55ddc62637bb}"/>
  </w:docVars>
  <w:rsids>
    <w:rsidRoot w:val="009B7BE5"/>
    <w:rsid w:val="000002CC"/>
    <w:rsid w:val="000017FE"/>
    <w:rsid w:val="00007EB2"/>
    <w:rsid w:val="00022D10"/>
    <w:rsid w:val="00082CFF"/>
    <w:rsid w:val="000C06C3"/>
    <w:rsid w:val="00105F07"/>
    <w:rsid w:val="00110DBA"/>
    <w:rsid w:val="001D0ED0"/>
    <w:rsid w:val="002208FC"/>
    <w:rsid w:val="00267322"/>
    <w:rsid w:val="00283D57"/>
    <w:rsid w:val="002D49A6"/>
    <w:rsid w:val="002E5A74"/>
    <w:rsid w:val="002F6A84"/>
    <w:rsid w:val="00374CD7"/>
    <w:rsid w:val="00395D60"/>
    <w:rsid w:val="003E03A4"/>
    <w:rsid w:val="003E1074"/>
    <w:rsid w:val="00492A1E"/>
    <w:rsid w:val="004E1DD5"/>
    <w:rsid w:val="00534418"/>
    <w:rsid w:val="0055386A"/>
    <w:rsid w:val="005D353F"/>
    <w:rsid w:val="005E6671"/>
    <w:rsid w:val="006A64C0"/>
    <w:rsid w:val="006B22D2"/>
    <w:rsid w:val="006D1B22"/>
    <w:rsid w:val="006D7516"/>
    <w:rsid w:val="008102BB"/>
    <w:rsid w:val="0083707A"/>
    <w:rsid w:val="00847C9A"/>
    <w:rsid w:val="00876A26"/>
    <w:rsid w:val="00877F3C"/>
    <w:rsid w:val="00924C94"/>
    <w:rsid w:val="0092732B"/>
    <w:rsid w:val="00933463"/>
    <w:rsid w:val="00982A1A"/>
    <w:rsid w:val="0098554F"/>
    <w:rsid w:val="009B1F5D"/>
    <w:rsid w:val="009B2C80"/>
    <w:rsid w:val="009B7BE5"/>
    <w:rsid w:val="009D00B3"/>
    <w:rsid w:val="00A0095A"/>
    <w:rsid w:val="00A20983"/>
    <w:rsid w:val="00A236DD"/>
    <w:rsid w:val="00A335D8"/>
    <w:rsid w:val="00A82509"/>
    <w:rsid w:val="00A911FD"/>
    <w:rsid w:val="00AA3FA8"/>
    <w:rsid w:val="00AF0224"/>
    <w:rsid w:val="00B339F4"/>
    <w:rsid w:val="00BA12C8"/>
    <w:rsid w:val="00BA5BEE"/>
    <w:rsid w:val="00C21CC4"/>
    <w:rsid w:val="00C361C7"/>
    <w:rsid w:val="00C45953"/>
    <w:rsid w:val="00C62828"/>
    <w:rsid w:val="00C80D20"/>
    <w:rsid w:val="00C86F27"/>
    <w:rsid w:val="00CD2FF2"/>
    <w:rsid w:val="00CE7CF8"/>
    <w:rsid w:val="00D82ABA"/>
    <w:rsid w:val="00DD7A56"/>
    <w:rsid w:val="00DE2EC5"/>
    <w:rsid w:val="00E02518"/>
    <w:rsid w:val="00E45367"/>
    <w:rsid w:val="00E557F1"/>
    <w:rsid w:val="00E600AE"/>
    <w:rsid w:val="00E66932"/>
    <w:rsid w:val="00E70563"/>
    <w:rsid w:val="00F443ED"/>
    <w:rsid w:val="00F67A0A"/>
    <w:rsid w:val="00F70D12"/>
    <w:rsid w:val="00FB1F15"/>
    <w:rsid w:val="00FB646C"/>
    <w:rsid w:val="00FC1413"/>
    <w:rsid w:val="00FE33C0"/>
    <w:rsid w:val="00FE3893"/>
    <w:rsid w:val="00F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8EF2"/>
  <w15:docId w15:val="{1FC790C6-5E22-48FB-9B51-AD8A1EC9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0D12"/>
    <w:pPr>
      <w:widowControl w:val="0"/>
      <w:spacing w:after="200" w:line="276" w:lineRule="auto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9B7BE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color w:val="0000FF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B7BE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9B7BE5"/>
    <w:rPr>
      <w:rFonts w:ascii="Times New Roman" w:eastAsia="Times New Roman" w:hAnsi="Times New Roman" w:cs="Times New Roman"/>
      <w:snapToGrid w:val="0"/>
      <w:color w:val="0000FF"/>
      <w:sz w:val="24"/>
      <w:szCs w:val="20"/>
      <w:lang w:eastAsia="de-DE"/>
    </w:rPr>
  </w:style>
  <w:style w:type="character" w:customStyle="1" w:styleId="hps">
    <w:name w:val="hps"/>
    <w:rsid w:val="009B7BE5"/>
  </w:style>
  <w:style w:type="character" w:styleId="Kommentarzeichen">
    <w:name w:val="annotation reference"/>
    <w:basedOn w:val="Absatz-Standardschriftart"/>
    <w:uiPriority w:val="99"/>
    <w:semiHidden/>
    <w:unhideWhenUsed/>
    <w:rsid w:val="00374C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74C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74C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4C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4CD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CD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2C80"/>
    <w:pPr>
      <w:ind w:left="720"/>
      <w:contextualSpacing/>
    </w:pPr>
  </w:style>
  <w:style w:type="table" w:styleId="Tabellenraster">
    <w:name w:val="Table Grid"/>
    <w:basedOn w:val="NormaleTabelle"/>
    <w:uiPriority w:val="39"/>
    <w:rsid w:val="00395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D3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53F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D3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353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FE085-8FAE-4352-8150-CB14563D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Bach;Hannes Diefenbach;Timo Haß</dc:creator>
  <cp:keywords/>
  <dc:description/>
  <cp:lastModifiedBy>Denecke, Ulf</cp:lastModifiedBy>
  <cp:revision>38</cp:revision>
  <dcterms:created xsi:type="dcterms:W3CDTF">2017-05-16T07:52:00Z</dcterms:created>
  <dcterms:modified xsi:type="dcterms:W3CDTF">2021-04-28T07:44:00Z</dcterms:modified>
</cp:coreProperties>
</file>